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CB0" w:rsidRPr="006D1BB6" w:rsidRDefault="00210CB0" w:rsidP="00210CB0">
      <w:pPr>
        <w:pStyle w:val="NoSpacing"/>
        <w:shd w:val="clear" w:color="auto" w:fill="000000"/>
        <w:jc w:val="center"/>
        <w:rPr>
          <w:b/>
          <w:color w:val="FFFFFF"/>
          <w:sz w:val="40"/>
          <w:szCs w:val="40"/>
        </w:rPr>
      </w:pPr>
      <w:r w:rsidRPr="006D1BB6">
        <w:rPr>
          <w:b/>
          <w:color w:val="FFFFFF"/>
          <w:sz w:val="40"/>
          <w:szCs w:val="40"/>
        </w:rPr>
        <w:t>ENGLISH 214: COURSE COMPONENTS (T122)</w:t>
      </w:r>
    </w:p>
    <w:p w:rsidR="00210CB0" w:rsidRDefault="00210CB0" w:rsidP="00210CB0">
      <w:pPr>
        <w:pStyle w:val="NoSpacing"/>
        <w:rPr>
          <w:sz w:val="14"/>
          <w:szCs w:val="14"/>
        </w:rPr>
      </w:pPr>
    </w:p>
    <w:p w:rsidR="00210CB0" w:rsidRDefault="00210CB0" w:rsidP="00210CB0">
      <w:pPr>
        <w:pStyle w:val="NoSpacing"/>
        <w:rPr>
          <w:sz w:val="14"/>
          <w:szCs w:val="14"/>
        </w:rPr>
      </w:pPr>
    </w:p>
    <w:p w:rsidR="00210CB0" w:rsidRDefault="00210CB0" w:rsidP="00210CB0">
      <w:pPr>
        <w:pStyle w:val="NoSpacing"/>
        <w:rPr>
          <w:sz w:val="14"/>
          <w:szCs w:val="14"/>
        </w:rPr>
      </w:pPr>
    </w:p>
    <w:p w:rsidR="00210CB0" w:rsidRDefault="00210CB0" w:rsidP="00210CB0">
      <w:pPr>
        <w:pStyle w:val="NoSpacing"/>
        <w:rPr>
          <w:sz w:val="14"/>
          <w:szCs w:val="14"/>
        </w:rPr>
      </w:pPr>
    </w:p>
    <w:p w:rsidR="00210CB0" w:rsidRDefault="00210CB0" w:rsidP="00210CB0">
      <w:pPr>
        <w:pStyle w:val="NoSpacing"/>
        <w:rPr>
          <w:sz w:val="14"/>
          <w:szCs w:val="1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696"/>
        <w:gridCol w:w="5683"/>
      </w:tblGrid>
      <w:tr w:rsidR="00210CB0" w:rsidRPr="00A434C9" w:rsidTr="00736216">
        <w:tc>
          <w:tcPr>
            <w:tcW w:w="3085" w:type="dxa"/>
            <w:shd w:val="clear" w:color="auto" w:fill="FDE9D9" w:themeFill="accent6" w:themeFillTint="33"/>
          </w:tcPr>
          <w:p w:rsidR="00210CB0" w:rsidRPr="00A434C9" w:rsidRDefault="00210CB0" w:rsidP="00736216">
            <w:pPr>
              <w:pStyle w:val="NoSpacing"/>
              <w:rPr>
                <w:b/>
                <w:sz w:val="6"/>
                <w:szCs w:val="6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6"/>
                <w:szCs w:val="6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6"/>
                <w:szCs w:val="6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6"/>
                <w:szCs w:val="6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6"/>
                <w:szCs w:val="6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6"/>
                <w:szCs w:val="6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6"/>
                <w:szCs w:val="6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6"/>
                <w:szCs w:val="6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6"/>
                <w:szCs w:val="6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6"/>
                <w:szCs w:val="6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6"/>
                <w:szCs w:val="6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6"/>
                <w:szCs w:val="6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6"/>
                <w:szCs w:val="6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6"/>
                <w:szCs w:val="6"/>
              </w:rPr>
            </w:pPr>
            <w:r w:rsidRPr="00A434C9">
              <w:rPr>
                <w:b/>
                <w:sz w:val="22"/>
                <w:szCs w:val="22"/>
              </w:rPr>
              <w:t>REPORT: RESEARCHING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210CB0" w:rsidRPr="00A434C9" w:rsidRDefault="00210CB0" w:rsidP="00736216">
            <w:pPr>
              <w:pStyle w:val="NoSpacing"/>
              <w:rPr>
                <w:b/>
                <w:sz w:val="6"/>
                <w:szCs w:val="6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6"/>
                <w:szCs w:val="6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6"/>
                <w:szCs w:val="6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6"/>
                <w:szCs w:val="6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6"/>
                <w:szCs w:val="6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6"/>
                <w:szCs w:val="6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6"/>
                <w:szCs w:val="6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6"/>
                <w:szCs w:val="6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6"/>
                <w:szCs w:val="6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6"/>
                <w:szCs w:val="6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6"/>
                <w:szCs w:val="6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6"/>
                <w:szCs w:val="6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6"/>
                <w:szCs w:val="6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6"/>
                <w:szCs w:val="6"/>
              </w:rPr>
            </w:pPr>
            <w:r w:rsidRPr="00A434C9">
              <w:rPr>
                <w:b/>
                <w:sz w:val="22"/>
                <w:szCs w:val="22"/>
              </w:rPr>
              <w:t>15%</w:t>
            </w:r>
          </w:p>
        </w:tc>
        <w:tc>
          <w:tcPr>
            <w:tcW w:w="5683" w:type="dxa"/>
            <w:shd w:val="clear" w:color="auto" w:fill="FDE9D9" w:themeFill="accent6" w:themeFillTint="33"/>
          </w:tcPr>
          <w:p w:rsidR="00210CB0" w:rsidRPr="00A434C9" w:rsidRDefault="00210CB0" w:rsidP="00736216">
            <w:pPr>
              <w:pStyle w:val="NoSpacing"/>
              <w:rPr>
                <w:i/>
                <w:sz w:val="20"/>
                <w:szCs w:val="20"/>
              </w:rPr>
            </w:pPr>
          </w:p>
          <w:p w:rsidR="00210CB0" w:rsidRPr="00A434C9" w:rsidRDefault="00210CB0" w:rsidP="00736216">
            <w:pPr>
              <w:pStyle w:val="NoSpacing"/>
              <w:rPr>
                <w:sz w:val="20"/>
                <w:szCs w:val="20"/>
              </w:rPr>
            </w:pPr>
            <w:r w:rsidRPr="00641308">
              <w:rPr>
                <w:b/>
                <w:bCs/>
                <w:i/>
                <w:sz w:val="20"/>
                <w:szCs w:val="20"/>
              </w:rPr>
              <w:t>The research process</w:t>
            </w:r>
            <w:r>
              <w:rPr>
                <w:sz w:val="20"/>
                <w:szCs w:val="20"/>
              </w:rPr>
              <w:t xml:space="preserve">: </w:t>
            </w:r>
            <w:r w:rsidRPr="00A434C9">
              <w:rPr>
                <w:sz w:val="20"/>
                <w:szCs w:val="20"/>
              </w:rPr>
              <w:t xml:space="preserve">Library and Internet research skills; audience analysis; finding, narrowing and focusing a topic; note taking; outlining; quotation; APA references and documentation; document design. </w:t>
            </w:r>
          </w:p>
          <w:p w:rsidR="00210CB0" w:rsidRPr="00A434C9" w:rsidRDefault="00210CB0" w:rsidP="00736216">
            <w:pPr>
              <w:pStyle w:val="NoSpacing"/>
              <w:rPr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Minimum f</w:t>
            </w:r>
            <w:r w:rsidRPr="00641308">
              <w:rPr>
                <w:b/>
                <w:bCs/>
                <w:i/>
                <w:sz w:val="20"/>
                <w:szCs w:val="20"/>
              </w:rPr>
              <w:t>our source evaluations</w:t>
            </w:r>
            <w:r w:rsidRPr="00A434C9">
              <w:rPr>
                <w:sz w:val="20"/>
                <w:szCs w:val="20"/>
              </w:rPr>
              <w:t>.</w:t>
            </w:r>
          </w:p>
          <w:p w:rsidR="00210CB0" w:rsidRPr="00A434C9" w:rsidRDefault="00210CB0" w:rsidP="00736216">
            <w:pPr>
              <w:pStyle w:val="NoSpacing"/>
              <w:rPr>
                <w:sz w:val="20"/>
                <w:szCs w:val="20"/>
              </w:rPr>
            </w:pPr>
            <w:r w:rsidRPr="00641308">
              <w:rPr>
                <w:b/>
                <w:bCs/>
                <w:i/>
                <w:sz w:val="20"/>
                <w:szCs w:val="20"/>
              </w:rPr>
              <w:t>Progress report</w:t>
            </w:r>
            <w:r w:rsidRPr="00A434C9">
              <w:rPr>
                <w:sz w:val="20"/>
                <w:szCs w:val="20"/>
              </w:rPr>
              <w:t>: report background; thesis statement; working bibliography; preliminary two-level outline; schedule of tasks to be completed.</w:t>
            </w:r>
          </w:p>
          <w:p w:rsidR="00210CB0" w:rsidRPr="00A434C9" w:rsidRDefault="00210CB0" w:rsidP="00736216">
            <w:pPr>
              <w:pStyle w:val="NoSpacing"/>
              <w:rPr>
                <w:sz w:val="20"/>
                <w:szCs w:val="20"/>
              </w:rPr>
            </w:pPr>
          </w:p>
        </w:tc>
      </w:tr>
      <w:tr w:rsidR="00210CB0" w:rsidRPr="00A434C9" w:rsidTr="00736216">
        <w:tc>
          <w:tcPr>
            <w:tcW w:w="3085" w:type="dxa"/>
            <w:shd w:val="clear" w:color="auto" w:fill="FABF8F" w:themeFill="accent6" w:themeFillTint="99"/>
          </w:tcPr>
          <w:p w:rsidR="00210CB0" w:rsidRPr="00A434C9" w:rsidRDefault="00210CB0" w:rsidP="00736216">
            <w:pPr>
              <w:pStyle w:val="NoSpacing"/>
              <w:rPr>
                <w:b/>
                <w:sz w:val="22"/>
                <w:szCs w:val="22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16"/>
                <w:szCs w:val="16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16"/>
                <w:szCs w:val="16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18"/>
                <w:szCs w:val="18"/>
              </w:rPr>
            </w:pPr>
            <w:r w:rsidRPr="00A434C9">
              <w:rPr>
                <w:b/>
                <w:sz w:val="22"/>
                <w:szCs w:val="22"/>
              </w:rPr>
              <w:t>REPORT: DRAFTING</w:t>
            </w:r>
          </w:p>
          <w:p w:rsidR="00210CB0" w:rsidRPr="00A434C9" w:rsidRDefault="00210CB0" w:rsidP="00736216">
            <w:pPr>
              <w:pStyle w:val="NoSpacing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ABF8F" w:themeFill="accent6" w:themeFillTint="99"/>
          </w:tcPr>
          <w:p w:rsidR="00210CB0" w:rsidRPr="00A434C9" w:rsidRDefault="00210CB0" w:rsidP="00736216">
            <w:pPr>
              <w:pStyle w:val="NoSpacing"/>
              <w:rPr>
                <w:b/>
                <w:sz w:val="22"/>
                <w:szCs w:val="22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16"/>
                <w:szCs w:val="16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16"/>
                <w:szCs w:val="16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18"/>
                <w:szCs w:val="18"/>
              </w:rPr>
            </w:pPr>
            <w:r w:rsidRPr="00A434C9">
              <w:rPr>
                <w:b/>
                <w:sz w:val="22"/>
                <w:szCs w:val="22"/>
              </w:rPr>
              <w:t>15%</w:t>
            </w:r>
          </w:p>
          <w:p w:rsidR="00210CB0" w:rsidRPr="00A434C9" w:rsidRDefault="00210CB0" w:rsidP="00736216">
            <w:pPr>
              <w:pStyle w:val="NoSpacing"/>
              <w:rPr>
                <w:b/>
                <w:sz w:val="22"/>
                <w:szCs w:val="22"/>
              </w:rPr>
            </w:pPr>
          </w:p>
        </w:tc>
        <w:tc>
          <w:tcPr>
            <w:tcW w:w="5683" w:type="dxa"/>
            <w:shd w:val="clear" w:color="auto" w:fill="FABF8F" w:themeFill="accent6" w:themeFillTint="99"/>
          </w:tcPr>
          <w:p w:rsidR="00210CB0" w:rsidRPr="00A434C9" w:rsidRDefault="00210CB0" w:rsidP="00736216">
            <w:pPr>
              <w:pStyle w:val="NoSpacing"/>
              <w:rPr>
                <w:i/>
                <w:sz w:val="20"/>
                <w:szCs w:val="20"/>
              </w:rPr>
            </w:pPr>
          </w:p>
          <w:p w:rsidR="00210CB0" w:rsidRPr="00A434C9" w:rsidRDefault="00210CB0" w:rsidP="00736216">
            <w:pPr>
              <w:pStyle w:val="NoSpacing"/>
              <w:rPr>
                <w:sz w:val="20"/>
                <w:szCs w:val="20"/>
              </w:rPr>
            </w:pPr>
            <w:r w:rsidRPr="00641308">
              <w:rPr>
                <w:b/>
                <w:bCs/>
                <w:i/>
                <w:sz w:val="20"/>
                <w:szCs w:val="20"/>
              </w:rPr>
              <w:t>First draft</w:t>
            </w:r>
            <w:r w:rsidRPr="00A434C9">
              <w:rPr>
                <w:sz w:val="20"/>
                <w:szCs w:val="20"/>
              </w:rPr>
              <w:t xml:space="preserve"> (10%): written in class.</w:t>
            </w:r>
          </w:p>
          <w:p w:rsidR="00210CB0" w:rsidRPr="00A434C9" w:rsidRDefault="00210CB0" w:rsidP="00736216">
            <w:pPr>
              <w:pStyle w:val="NoSpacing"/>
              <w:rPr>
                <w:sz w:val="20"/>
                <w:szCs w:val="20"/>
              </w:rPr>
            </w:pPr>
            <w:r w:rsidRPr="00641308">
              <w:rPr>
                <w:b/>
                <w:bCs/>
                <w:i/>
                <w:sz w:val="20"/>
                <w:szCs w:val="20"/>
              </w:rPr>
              <w:t>Final revised &amp; edited draft</w:t>
            </w:r>
            <w:r w:rsidRPr="00A434C9">
              <w:rPr>
                <w:sz w:val="20"/>
                <w:szCs w:val="20"/>
              </w:rPr>
              <w:t xml:space="preserve"> (5%): professional-looking report; minimum 1500 words; </w:t>
            </w:r>
            <w:r>
              <w:rPr>
                <w:sz w:val="20"/>
                <w:szCs w:val="20"/>
              </w:rPr>
              <w:t xml:space="preserve">minimum </w:t>
            </w:r>
            <w:r w:rsidRPr="00A434C9">
              <w:rPr>
                <w:sz w:val="20"/>
                <w:szCs w:val="20"/>
              </w:rPr>
              <w:t>six sources.</w:t>
            </w:r>
          </w:p>
          <w:p w:rsidR="00210CB0" w:rsidRPr="00A434C9" w:rsidRDefault="00210CB0" w:rsidP="00736216">
            <w:pPr>
              <w:pStyle w:val="NoSpacing"/>
              <w:rPr>
                <w:sz w:val="20"/>
                <w:szCs w:val="20"/>
              </w:rPr>
            </w:pPr>
            <w:r w:rsidRPr="00A434C9">
              <w:rPr>
                <w:sz w:val="20"/>
                <w:szCs w:val="20"/>
              </w:rPr>
              <w:t xml:space="preserve">The report will be in the student’s major and linked </w:t>
            </w:r>
            <w:r>
              <w:rPr>
                <w:sz w:val="20"/>
                <w:szCs w:val="20"/>
              </w:rPr>
              <w:t>to the theme; individual effort or, with teacher approval, collaborative.</w:t>
            </w:r>
          </w:p>
          <w:p w:rsidR="00210CB0" w:rsidRPr="00A434C9" w:rsidRDefault="00210CB0" w:rsidP="00736216">
            <w:pPr>
              <w:pStyle w:val="NoSpacing"/>
              <w:rPr>
                <w:sz w:val="20"/>
                <w:szCs w:val="20"/>
              </w:rPr>
            </w:pPr>
          </w:p>
        </w:tc>
      </w:tr>
      <w:tr w:rsidR="00210CB0" w:rsidRPr="00A434C9" w:rsidTr="00736216">
        <w:tc>
          <w:tcPr>
            <w:tcW w:w="3085" w:type="dxa"/>
            <w:shd w:val="clear" w:color="auto" w:fill="FFFF00"/>
          </w:tcPr>
          <w:p w:rsidR="00210CB0" w:rsidRPr="00A434C9" w:rsidRDefault="00210CB0" w:rsidP="00736216">
            <w:pPr>
              <w:pStyle w:val="NoSpacing"/>
              <w:rPr>
                <w:b/>
                <w:sz w:val="10"/>
                <w:szCs w:val="10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10"/>
                <w:szCs w:val="10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10"/>
                <w:szCs w:val="10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22"/>
                <w:szCs w:val="22"/>
              </w:rPr>
            </w:pPr>
            <w:r w:rsidRPr="00A434C9">
              <w:rPr>
                <w:b/>
                <w:sz w:val="22"/>
                <w:szCs w:val="22"/>
              </w:rPr>
              <w:t>MIDTERM EXAM</w:t>
            </w:r>
          </w:p>
        </w:tc>
        <w:tc>
          <w:tcPr>
            <w:tcW w:w="0" w:type="auto"/>
            <w:shd w:val="clear" w:color="auto" w:fill="FFFF00"/>
          </w:tcPr>
          <w:p w:rsidR="00210CB0" w:rsidRPr="00A434C9" w:rsidRDefault="00210CB0" w:rsidP="00736216">
            <w:pPr>
              <w:pStyle w:val="NoSpacing"/>
              <w:rPr>
                <w:b/>
                <w:sz w:val="10"/>
                <w:szCs w:val="10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10"/>
                <w:szCs w:val="10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10"/>
                <w:szCs w:val="10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22"/>
                <w:szCs w:val="22"/>
              </w:rPr>
            </w:pPr>
            <w:r w:rsidRPr="00A434C9">
              <w:rPr>
                <w:b/>
                <w:sz w:val="22"/>
                <w:szCs w:val="22"/>
              </w:rPr>
              <w:t>15%</w:t>
            </w:r>
          </w:p>
        </w:tc>
        <w:tc>
          <w:tcPr>
            <w:tcW w:w="5683" w:type="dxa"/>
            <w:shd w:val="clear" w:color="auto" w:fill="FFFF00"/>
          </w:tcPr>
          <w:p w:rsidR="00210CB0" w:rsidRPr="00A434C9" w:rsidRDefault="00210CB0" w:rsidP="00736216">
            <w:pPr>
              <w:pStyle w:val="NoSpacing"/>
              <w:rPr>
                <w:sz w:val="20"/>
                <w:szCs w:val="20"/>
              </w:rPr>
            </w:pPr>
          </w:p>
          <w:p w:rsidR="00210CB0" w:rsidRPr="00A434C9" w:rsidRDefault="00210CB0" w:rsidP="00736216">
            <w:pPr>
              <w:pStyle w:val="NoSpacing"/>
              <w:rPr>
                <w:sz w:val="20"/>
                <w:szCs w:val="20"/>
              </w:rPr>
            </w:pPr>
            <w:r w:rsidRPr="00A434C9">
              <w:rPr>
                <w:sz w:val="20"/>
                <w:szCs w:val="20"/>
              </w:rPr>
              <w:t xml:space="preserve">Writing of a source evaluation: APA reference; summary paraphrase; and evaluation of a source.  </w:t>
            </w:r>
          </w:p>
          <w:p w:rsidR="00210CB0" w:rsidRPr="00A434C9" w:rsidRDefault="00210CB0" w:rsidP="00736216">
            <w:pPr>
              <w:pStyle w:val="NoSpacing"/>
              <w:rPr>
                <w:sz w:val="20"/>
                <w:szCs w:val="20"/>
              </w:rPr>
            </w:pPr>
          </w:p>
        </w:tc>
      </w:tr>
      <w:tr w:rsidR="00210CB0" w:rsidRPr="00A434C9" w:rsidTr="00736216">
        <w:tc>
          <w:tcPr>
            <w:tcW w:w="3085" w:type="dxa"/>
            <w:shd w:val="clear" w:color="auto" w:fill="DAEEF3" w:themeFill="accent5" w:themeFillTint="33"/>
          </w:tcPr>
          <w:p w:rsidR="00210CB0" w:rsidRPr="00A434C9" w:rsidRDefault="00210CB0" w:rsidP="00736216">
            <w:pPr>
              <w:pStyle w:val="NoSpacing"/>
              <w:rPr>
                <w:b/>
                <w:sz w:val="10"/>
                <w:szCs w:val="10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10"/>
                <w:szCs w:val="10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10"/>
                <w:szCs w:val="10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10"/>
                <w:szCs w:val="10"/>
              </w:rPr>
            </w:pPr>
            <w:r w:rsidRPr="00A434C9">
              <w:rPr>
                <w:b/>
                <w:sz w:val="22"/>
                <w:szCs w:val="22"/>
              </w:rPr>
              <w:t>RECRUITMENT</w:t>
            </w:r>
          </w:p>
        </w:tc>
        <w:tc>
          <w:tcPr>
            <w:tcW w:w="0" w:type="auto"/>
            <w:shd w:val="clear" w:color="auto" w:fill="DAEEF3" w:themeFill="accent5" w:themeFillTint="33"/>
          </w:tcPr>
          <w:p w:rsidR="00210CB0" w:rsidRPr="00A434C9" w:rsidRDefault="00210CB0" w:rsidP="00736216">
            <w:pPr>
              <w:pStyle w:val="NoSpacing"/>
              <w:rPr>
                <w:b/>
                <w:sz w:val="10"/>
                <w:szCs w:val="10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10"/>
                <w:szCs w:val="10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10"/>
                <w:szCs w:val="10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10"/>
                <w:szCs w:val="10"/>
              </w:rPr>
            </w:pPr>
            <w:r w:rsidRPr="00A434C9">
              <w:rPr>
                <w:b/>
                <w:sz w:val="22"/>
                <w:szCs w:val="22"/>
              </w:rPr>
              <w:t>15%</w:t>
            </w:r>
          </w:p>
        </w:tc>
        <w:tc>
          <w:tcPr>
            <w:tcW w:w="5683" w:type="dxa"/>
            <w:shd w:val="clear" w:color="auto" w:fill="DAEEF3" w:themeFill="accent5" w:themeFillTint="33"/>
          </w:tcPr>
          <w:p w:rsidR="00210CB0" w:rsidRPr="00A434C9" w:rsidRDefault="00210CB0" w:rsidP="00736216">
            <w:pPr>
              <w:pStyle w:val="NoSpacing"/>
              <w:rPr>
                <w:sz w:val="20"/>
                <w:szCs w:val="20"/>
              </w:rPr>
            </w:pPr>
          </w:p>
          <w:p w:rsidR="00210CB0" w:rsidRPr="00A434C9" w:rsidRDefault="00210CB0" w:rsidP="00736216">
            <w:pPr>
              <w:pStyle w:val="NoSpacing"/>
              <w:rPr>
                <w:sz w:val="20"/>
                <w:szCs w:val="20"/>
              </w:rPr>
            </w:pPr>
            <w:r w:rsidRPr="00A434C9">
              <w:rPr>
                <w:sz w:val="20"/>
                <w:szCs w:val="20"/>
              </w:rPr>
              <w:t>Business letter format; ways to find a job; cover letter; cv/résumé; interviewing techniques.</w:t>
            </w:r>
          </w:p>
          <w:p w:rsidR="00210CB0" w:rsidRPr="00A434C9" w:rsidRDefault="00210CB0" w:rsidP="00736216">
            <w:pPr>
              <w:pStyle w:val="NoSpacing"/>
              <w:rPr>
                <w:sz w:val="20"/>
                <w:szCs w:val="20"/>
              </w:rPr>
            </w:pPr>
          </w:p>
        </w:tc>
      </w:tr>
      <w:tr w:rsidR="00210CB0" w:rsidRPr="00A434C9" w:rsidTr="00736216">
        <w:tc>
          <w:tcPr>
            <w:tcW w:w="3085" w:type="dxa"/>
            <w:shd w:val="clear" w:color="auto" w:fill="EAF1DD" w:themeFill="accent3" w:themeFillTint="33"/>
          </w:tcPr>
          <w:p w:rsidR="00210CB0" w:rsidRPr="00A434C9" w:rsidRDefault="00210CB0" w:rsidP="00736216">
            <w:pPr>
              <w:pStyle w:val="NoSpacing"/>
              <w:rPr>
                <w:b/>
                <w:sz w:val="10"/>
                <w:szCs w:val="10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10"/>
                <w:szCs w:val="10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10"/>
                <w:szCs w:val="10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10"/>
                <w:szCs w:val="10"/>
              </w:rPr>
            </w:pPr>
            <w:r w:rsidRPr="00A434C9">
              <w:rPr>
                <w:b/>
                <w:sz w:val="22"/>
                <w:szCs w:val="22"/>
              </w:rPr>
              <w:t>CORRESPONDENCE</w:t>
            </w:r>
          </w:p>
        </w:tc>
        <w:tc>
          <w:tcPr>
            <w:tcW w:w="0" w:type="auto"/>
            <w:shd w:val="clear" w:color="auto" w:fill="EAF1DD" w:themeFill="accent3" w:themeFillTint="33"/>
          </w:tcPr>
          <w:p w:rsidR="00210CB0" w:rsidRPr="00A434C9" w:rsidRDefault="00210CB0" w:rsidP="00736216">
            <w:pPr>
              <w:pStyle w:val="NoSpacing"/>
              <w:rPr>
                <w:b/>
                <w:sz w:val="10"/>
                <w:szCs w:val="10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10"/>
                <w:szCs w:val="10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10"/>
                <w:szCs w:val="10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10"/>
                <w:szCs w:val="10"/>
              </w:rPr>
            </w:pPr>
            <w:r w:rsidRPr="00A434C9">
              <w:rPr>
                <w:b/>
                <w:sz w:val="22"/>
                <w:szCs w:val="22"/>
              </w:rPr>
              <w:t>10%</w:t>
            </w:r>
          </w:p>
        </w:tc>
        <w:tc>
          <w:tcPr>
            <w:tcW w:w="5683" w:type="dxa"/>
            <w:shd w:val="clear" w:color="auto" w:fill="EAF1DD" w:themeFill="accent3" w:themeFillTint="33"/>
          </w:tcPr>
          <w:p w:rsidR="00210CB0" w:rsidRPr="00A434C9" w:rsidRDefault="00210CB0" w:rsidP="00736216">
            <w:pPr>
              <w:pStyle w:val="NoSpacing"/>
              <w:rPr>
                <w:sz w:val="20"/>
                <w:szCs w:val="20"/>
              </w:rPr>
            </w:pPr>
          </w:p>
          <w:p w:rsidR="00210CB0" w:rsidRPr="00A434C9" w:rsidRDefault="00210CB0" w:rsidP="00736216">
            <w:pPr>
              <w:pStyle w:val="NoSpacing"/>
              <w:rPr>
                <w:sz w:val="20"/>
                <w:szCs w:val="20"/>
              </w:rPr>
            </w:pPr>
            <w:r w:rsidRPr="00A434C9">
              <w:rPr>
                <w:sz w:val="20"/>
                <w:szCs w:val="20"/>
              </w:rPr>
              <w:t>5 types of letter: inquiry, special request, complaint, adjustment (</w:t>
            </w:r>
            <w:r w:rsidRPr="009A41B0">
              <w:rPr>
                <w:i/>
                <w:iCs/>
                <w:sz w:val="20"/>
                <w:szCs w:val="20"/>
              </w:rPr>
              <w:t>accept</w:t>
            </w:r>
            <w:r w:rsidRPr="00A434C9">
              <w:rPr>
                <w:sz w:val="20"/>
                <w:szCs w:val="20"/>
              </w:rPr>
              <w:t>), and adjustment (</w:t>
            </w:r>
            <w:r w:rsidRPr="009A41B0">
              <w:rPr>
                <w:i/>
                <w:iCs/>
                <w:sz w:val="20"/>
                <w:szCs w:val="20"/>
              </w:rPr>
              <w:t>reject</w:t>
            </w:r>
            <w:r w:rsidRPr="00A434C9">
              <w:rPr>
                <w:sz w:val="20"/>
                <w:szCs w:val="20"/>
              </w:rPr>
              <w:t>); email.</w:t>
            </w:r>
          </w:p>
          <w:p w:rsidR="00210CB0" w:rsidRPr="00A434C9" w:rsidRDefault="00210CB0" w:rsidP="00736216">
            <w:pPr>
              <w:pStyle w:val="NoSpacing"/>
              <w:rPr>
                <w:sz w:val="20"/>
                <w:szCs w:val="20"/>
              </w:rPr>
            </w:pPr>
          </w:p>
        </w:tc>
      </w:tr>
      <w:tr w:rsidR="00210CB0" w:rsidRPr="00A434C9" w:rsidTr="00736216">
        <w:tc>
          <w:tcPr>
            <w:tcW w:w="3085" w:type="dxa"/>
            <w:shd w:val="clear" w:color="auto" w:fill="F2DBDB" w:themeFill="accent2" w:themeFillTint="33"/>
          </w:tcPr>
          <w:p w:rsidR="00210CB0" w:rsidRPr="00A434C9" w:rsidRDefault="00210CB0" w:rsidP="00736216">
            <w:pPr>
              <w:pStyle w:val="NoSpacing"/>
              <w:rPr>
                <w:b/>
                <w:sz w:val="18"/>
                <w:szCs w:val="18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22"/>
                <w:szCs w:val="22"/>
              </w:rPr>
            </w:pPr>
            <w:r w:rsidRPr="00A434C9">
              <w:rPr>
                <w:b/>
                <w:sz w:val="22"/>
                <w:szCs w:val="22"/>
              </w:rPr>
              <w:t>COURSE QUIZZES (CQ)</w:t>
            </w:r>
          </w:p>
        </w:tc>
        <w:tc>
          <w:tcPr>
            <w:tcW w:w="0" w:type="auto"/>
            <w:shd w:val="clear" w:color="auto" w:fill="F2DBDB" w:themeFill="accent2" w:themeFillTint="33"/>
          </w:tcPr>
          <w:p w:rsidR="00210CB0" w:rsidRPr="00A434C9" w:rsidRDefault="00210CB0" w:rsidP="00736216">
            <w:pPr>
              <w:pStyle w:val="NoSpacing"/>
              <w:rPr>
                <w:b/>
                <w:sz w:val="18"/>
                <w:szCs w:val="18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22"/>
                <w:szCs w:val="22"/>
              </w:rPr>
            </w:pPr>
            <w:r w:rsidRPr="00A434C9">
              <w:rPr>
                <w:b/>
                <w:sz w:val="22"/>
                <w:szCs w:val="22"/>
              </w:rPr>
              <w:t>10%</w:t>
            </w:r>
          </w:p>
          <w:p w:rsidR="00210CB0" w:rsidRPr="00A434C9" w:rsidRDefault="00210CB0" w:rsidP="00736216">
            <w:pPr>
              <w:pStyle w:val="NoSpacing"/>
              <w:rPr>
                <w:b/>
                <w:sz w:val="22"/>
                <w:szCs w:val="22"/>
              </w:rPr>
            </w:pPr>
          </w:p>
        </w:tc>
        <w:tc>
          <w:tcPr>
            <w:tcW w:w="5683" w:type="dxa"/>
            <w:shd w:val="clear" w:color="auto" w:fill="F2DBDB" w:themeFill="accent2" w:themeFillTint="33"/>
          </w:tcPr>
          <w:p w:rsidR="00210CB0" w:rsidRPr="00A434C9" w:rsidRDefault="00210CB0" w:rsidP="00736216">
            <w:pPr>
              <w:pStyle w:val="NoSpacing"/>
              <w:rPr>
                <w:sz w:val="18"/>
                <w:szCs w:val="18"/>
              </w:rPr>
            </w:pPr>
          </w:p>
          <w:p w:rsidR="00210CB0" w:rsidRPr="00A434C9" w:rsidRDefault="00210CB0" w:rsidP="00736216">
            <w:pPr>
              <w:pStyle w:val="NoSpacing"/>
              <w:rPr>
                <w:sz w:val="20"/>
                <w:szCs w:val="20"/>
              </w:rPr>
            </w:pPr>
            <w:r w:rsidRPr="00A434C9">
              <w:rPr>
                <w:sz w:val="20"/>
                <w:szCs w:val="20"/>
              </w:rPr>
              <w:t xml:space="preserve">Three short-answer </w:t>
            </w:r>
            <w:proofErr w:type="gramStart"/>
            <w:r w:rsidRPr="00A434C9">
              <w:rPr>
                <w:sz w:val="20"/>
                <w:szCs w:val="20"/>
              </w:rPr>
              <w:t>in-class</w:t>
            </w:r>
            <w:proofErr w:type="gramEnd"/>
            <w:r w:rsidRPr="00A434C9">
              <w:rPr>
                <w:sz w:val="20"/>
                <w:szCs w:val="20"/>
              </w:rPr>
              <w:t xml:space="preserve"> quizzes testing understanding of the course content on Blackboard and in the course textbook.</w:t>
            </w:r>
          </w:p>
          <w:p w:rsidR="00210CB0" w:rsidRPr="00A434C9" w:rsidRDefault="00210CB0" w:rsidP="00736216">
            <w:pPr>
              <w:pStyle w:val="NoSpacing"/>
              <w:rPr>
                <w:sz w:val="20"/>
                <w:szCs w:val="20"/>
              </w:rPr>
            </w:pPr>
          </w:p>
        </w:tc>
      </w:tr>
      <w:tr w:rsidR="00210CB0" w:rsidRPr="00A434C9" w:rsidTr="00736216">
        <w:tc>
          <w:tcPr>
            <w:tcW w:w="3085" w:type="dxa"/>
            <w:shd w:val="clear" w:color="auto" w:fill="DDD9C3" w:themeFill="background2" w:themeFillShade="E6"/>
          </w:tcPr>
          <w:p w:rsidR="00210CB0" w:rsidRPr="00A434C9" w:rsidRDefault="00210CB0" w:rsidP="00736216">
            <w:pPr>
              <w:pStyle w:val="NoSpacing"/>
              <w:rPr>
                <w:b/>
                <w:sz w:val="8"/>
                <w:szCs w:val="8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16"/>
                <w:szCs w:val="16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22"/>
                <w:szCs w:val="22"/>
              </w:rPr>
            </w:pPr>
            <w:r w:rsidRPr="00A434C9">
              <w:rPr>
                <w:b/>
                <w:sz w:val="22"/>
                <w:szCs w:val="22"/>
              </w:rPr>
              <w:t>PRESENTATION SKILLS</w:t>
            </w:r>
          </w:p>
        </w:tc>
        <w:tc>
          <w:tcPr>
            <w:tcW w:w="0" w:type="auto"/>
            <w:shd w:val="clear" w:color="auto" w:fill="DDD9C3" w:themeFill="background2" w:themeFillShade="E6"/>
          </w:tcPr>
          <w:p w:rsidR="00210CB0" w:rsidRPr="00A434C9" w:rsidRDefault="00210CB0" w:rsidP="00736216">
            <w:pPr>
              <w:pStyle w:val="NoSpacing"/>
              <w:rPr>
                <w:b/>
                <w:sz w:val="8"/>
                <w:szCs w:val="8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16"/>
                <w:szCs w:val="16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22"/>
                <w:szCs w:val="22"/>
              </w:rPr>
            </w:pPr>
            <w:r w:rsidRPr="00A434C9">
              <w:rPr>
                <w:b/>
                <w:sz w:val="22"/>
                <w:szCs w:val="22"/>
              </w:rPr>
              <w:t>10%</w:t>
            </w:r>
          </w:p>
        </w:tc>
        <w:tc>
          <w:tcPr>
            <w:tcW w:w="5683" w:type="dxa"/>
            <w:shd w:val="clear" w:color="auto" w:fill="DDD9C3" w:themeFill="background2" w:themeFillShade="E6"/>
          </w:tcPr>
          <w:p w:rsidR="00210CB0" w:rsidRPr="00A434C9" w:rsidRDefault="00210CB0" w:rsidP="00736216">
            <w:pPr>
              <w:pStyle w:val="NoSpacing"/>
              <w:rPr>
                <w:sz w:val="20"/>
                <w:szCs w:val="20"/>
              </w:rPr>
            </w:pPr>
          </w:p>
          <w:p w:rsidR="00210CB0" w:rsidRPr="00A434C9" w:rsidRDefault="00210CB0" w:rsidP="00736216">
            <w:pPr>
              <w:pStyle w:val="NoSpacing"/>
              <w:rPr>
                <w:sz w:val="20"/>
                <w:szCs w:val="20"/>
              </w:rPr>
            </w:pPr>
            <w:r w:rsidRPr="00A434C9">
              <w:rPr>
                <w:sz w:val="20"/>
                <w:szCs w:val="20"/>
              </w:rPr>
              <w:t>Skills preparation for giving a formal PowerPoint presentation; linked to the academic report (or recruitment component).</w:t>
            </w:r>
          </w:p>
          <w:p w:rsidR="00210CB0" w:rsidRPr="00A434C9" w:rsidRDefault="00210CB0" w:rsidP="00736216">
            <w:pPr>
              <w:pStyle w:val="NoSpacing"/>
              <w:rPr>
                <w:sz w:val="20"/>
                <w:szCs w:val="20"/>
              </w:rPr>
            </w:pPr>
          </w:p>
        </w:tc>
      </w:tr>
      <w:tr w:rsidR="00210CB0" w:rsidRPr="00A434C9" w:rsidTr="00736216">
        <w:tc>
          <w:tcPr>
            <w:tcW w:w="3085" w:type="dxa"/>
            <w:shd w:val="clear" w:color="auto" w:fill="FFFF00"/>
          </w:tcPr>
          <w:p w:rsidR="00210CB0" w:rsidRPr="00A434C9" w:rsidRDefault="00210CB0" w:rsidP="00736216">
            <w:pPr>
              <w:pStyle w:val="NoSpacing"/>
              <w:rPr>
                <w:b/>
                <w:sz w:val="8"/>
                <w:szCs w:val="8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8"/>
                <w:szCs w:val="8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8"/>
                <w:szCs w:val="8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22"/>
                <w:szCs w:val="22"/>
              </w:rPr>
            </w:pPr>
            <w:r w:rsidRPr="00A434C9">
              <w:rPr>
                <w:b/>
                <w:sz w:val="22"/>
                <w:szCs w:val="22"/>
              </w:rPr>
              <w:t>FINAL EXAM</w:t>
            </w:r>
          </w:p>
        </w:tc>
        <w:tc>
          <w:tcPr>
            <w:tcW w:w="0" w:type="auto"/>
            <w:shd w:val="clear" w:color="auto" w:fill="FFFF00"/>
          </w:tcPr>
          <w:p w:rsidR="00210CB0" w:rsidRPr="00A434C9" w:rsidRDefault="00210CB0" w:rsidP="00736216">
            <w:pPr>
              <w:pStyle w:val="NoSpacing"/>
              <w:rPr>
                <w:b/>
                <w:sz w:val="8"/>
                <w:szCs w:val="8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8"/>
                <w:szCs w:val="8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8"/>
                <w:szCs w:val="8"/>
              </w:rPr>
            </w:pPr>
          </w:p>
          <w:p w:rsidR="00210CB0" w:rsidRPr="00A434C9" w:rsidRDefault="00210CB0" w:rsidP="00736216">
            <w:pPr>
              <w:pStyle w:val="NoSpacing"/>
              <w:rPr>
                <w:b/>
                <w:sz w:val="22"/>
                <w:szCs w:val="22"/>
              </w:rPr>
            </w:pPr>
            <w:r w:rsidRPr="00A434C9">
              <w:rPr>
                <w:b/>
                <w:sz w:val="22"/>
                <w:szCs w:val="22"/>
              </w:rPr>
              <w:t>10%</w:t>
            </w:r>
          </w:p>
        </w:tc>
        <w:tc>
          <w:tcPr>
            <w:tcW w:w="5683" w:type="dxa"/>
            <w:shd w:val="clear" w:color="auto" w:fill="FFFF00"/>
          </w:tcPr>
          <w:p w:rsidR="00210CB0" w:rsidRPr="00A434C9" w:rsidRDefault="00210CB0" w:rsidP="00736216">
            <w:pPr>
              <w:pStyle w:val="NoSpacing"/>
              <w:rPr>
                <w:sz w:val="20"/>
                <w:szCs w:val="20"/>
              </w:rPr>
            </w:pPr>
          </w:p>
          <w:p w:rsidR="00210CB0" w:rsidRPr="00A434C9" w:rsidRDefault="00210CB0" w:rsidP="00736216">
            <w:pPr>
              <w:pStyle w:val="NoSpacing"/>
              <w:rPr>
                <w:sz w:val="20"/>
                <w:szCs w:val="20"/>
              </w:rPr>
            </w:pPr>
            <w:r w:rsidRPr="00A434C9">
              <w:rPr>
                <w:sz w:val="20"/>
                <w:szCs w:val="20"/>
              </w:rPr>
              <w:t>Multiple-choice examination testing student understanding of the semester’s work.</w:t>
            </w:r>
          </w:p>
          <w:p w:rsidR="00210CB0" w:rsidRPr="00A434C9" w:rsidRDefault="00210CB0" w:rsidP="0073621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210CB0" w:rsidRDefault="00210CB0" w:rsidP="00210CB0">
      <w:pPr>
        <w:pStyle w:val="NoSpacing"/>
        <w:rPr>
          <w:sz w:val="20"/>
          <w:szCs w:val="20"/>
        </w:rPr>
      </w:pPr>
    </w:p>
    <w:p w:rsidR="00DA5C79" w:rsidRDefault="00DA5C79">
      <w:bookmarkStart w:id="0" w:name="_GoBack"/>
      <w:bookmarkEnd w:id="0"/>
    </w:p>
    <w:sectPr w:rsidR="00DA5C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CB0"/>
    <w:rsid w:val="00210CB0"/>
    <w:rsid w:val="002B31C7"/>
    <w:rsid w:val="0081431A"/>
    <w:rsid w:val="00DA5C79"/>
    <w:rsid w:val="00E4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CB0"/>
    <w:pPr>
      <w:spacing w:line="240" w:lineRule="auto"/>
    </w:pPr>
    <w:rPr>
      <w:rFonts w:ascii="Times New Roman" w:eastAsia="Calibri" w:hAnsi="Times New Roman" w:cs="Arial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0CB0"/>
    <w:pPr>
      <w:spacing w:after="0" w:line="240" w:lineRule="auto"/>
    </w:pPr>
    <w:rPr>
      <w:rFonts w:ascii="Times New Roman" w:eastAsia="Calibri" w:hAnsi="Times New Roman" w:cs="Arial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CB0"/>
    <w:pPr>
      <w:spacing w:line="240" w:lineRule="auto"/>
    </w:pPr>
    <w:rPr>
      <w:rFonts w:ascii="Times New Roman" w:eastAsia="Calibri" w:hAnsi="Times New Roman" w:cs="Arial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0CB0"/>
    <w:pPr>
      <w:spacing w:after="0" w:line="240" w:lineRule="auto"/>
    </w:pPr>
    <w:rPr>
      <w:rFonts w:ascii="Times New Roman" w:eastAsia="Calibri" w:hAnsi="Times New Roman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0896412B501F4E8F0AC459D8426E0F" ma:contentTypeVersion="0" ma:contentTypeDescription="Create a new document." ma:contentTypeScope="" ma:versionID="83505719543a1221f06d2b3f62daf8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DAF57F-0875-440D-B4DE-216E0C461138}"/>
</file>

<file path=customXml/itemProps2.xml><?xml version="1.0" encoding="utf-8"?>
<ds:datastoreItem xmlns:ds="http://schemas.openxmlformats.org/officeDocument/2006/customXml" ds:itemID="{8A7942F1-2A3A-4977-9138-EA4ABFFE496D}"/>
</file>

<file path=customXml/itemProps3.xml><?xml version="1.0" encoding="utf-8"?>
<ds:datastoreItem xmlns:ds="http://schemas.openxmlformats.org/officeDocument/2006/customXml" ds:itemID="{3FF765F6-8E5C-48F2-B7B5-02C209BAF2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cp:lastPrinted>2013-01-04T08:59:00Z</cp:lastPrinted>
  <dcterms:created xsi:type="dcterms:W3CDTF">2013-01-04T08:58:00Z</dcterms:created>
  <dcterms:modified xsi:type="dcterms:W3CDTF">2013-01-04T08:59:00Z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0x010100390896412B501F4E8F0AC459D8426E0F</vt:lpwstr>
  </property>
</Properties>
</file>